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394</w:t>
      </w:r>
    </w:p>
    <w:p>
      <w:r>
        <w:t>Bundesgericht (BGE), 1976-09-22, FR</w:t>
      </w:r>
    </w:p>
    <w:p>
      <w:r>
        <w:rPr>
          <w:b/>
        </w:rPr>
        <w:t xml:space="preserve">Quelle: </w:t>
      </w:r>
      <w:r>
        <w:t>https://mcp.opencaselaw.ch/entscheid/bge_102 II 394</w:t>
      </w:r>
    </w:p>
    <w:p>
      <w:r>
        <w:t>FR: ATF 102 II 394</w:t>
      </w:r>
    </w:p>
    <w:p>
      <w:r>
        <w:t>IT: DTF 102 II 394</w:t>
      </w:r>
    </w:p>
    <w:p>
      <w:pPr>
        <w:pStyle w:val="Heading2"/>
      </w:pPr>
      <w:r>
        <w:t>Regeste</w:t>
      </w:r>
    </w:p>
    <w:p>
      <w:r>
        <w:t>Regeste Streitwert (Art. 46 und 47 OG). Berechnung des Streitwertes bei negativen Rechtsbegehren (Aberkennungsklage).</w:t>
      </w:r>
    </w:p>
    <w:p>
      <w:pPr>
        <w:pStyle w:val="Heading2"/>
      </w:pPr>
      <w:r>
        <w:t>Erwägungen</w:t>
      </w:r>
    </w:p>
    <w:p>
      <w:r>
        <w:rPr>
          <w:b/>
        </w:rPr>
        <w:t>E. 1</w:t>
      </w:r>
    </w:p>
    <w:p>
      <w:r>
        <w:t>S'agissant d'une contestation portant sur des droits de nature pécuniaire, le recours n'est recevable que si ceux-ci atteignent une valeur d'au moins 8'000 fr. ( art. 46 OJ ). Pour le calcul de la valeur litigieuse, les divers chefs de conclusions formés par le demandeur sont additionnés, pourvu qu'ils ne s'excluent pas ( art. 47 al. 1 OJ ). Le montant de la demande reconventionnelle n'est en revanche pas additionné à celui de la demande principale ( art. 47 al. 2 OJ ). Ces dispositions, qui figuraient déjà à l' art. 60 al. 1 et 2 a OJ , sont interprétées par le Tribunal fédéral en ce sens que l'addition des divers chefs de conclusions ne dépend pas du point de savoir par quelle partie ils sont formés. Ce qui importe, c'est la partie qui fait valoir les droits contestés. Des conclusions négatoires de droit, telles que celles de l'action en libération de dette, concernent des droits invoqués non pas par la partie qui prend ces conclusions, mais par sa partie adverse. Elles doivent dès lors être traitées, pour le calcul de la valeur litigieuse, comme l'exercice d'une prétention contre le BGE 102 II 394 S. 396 demandeur. Cette jurisprudence vise à éviter que le demandeur contre qui des prétentions reconventionnelles sont ou risquent d'être élevées ne puisse éluder l' art. 47 al. 2 OJ en formant des conclusions négatoires de droit au sujet de ces prétentions ( ATF 33 II 475 , ATF 56 II 61 s.; arrêts non publiés Dayer contre Quennoz, du 12 juillet 1966, consid. 1a, et Erzer contre Raboud, du 1er avril 1976, consid. 1). Les chefs de conclusions III et IV du demandeur concernent la prétention du défendeur au paiement du solde de la soulte de 1'000 fr., objet de la poursuite. Ils sont donc sans influence sur la valeur litigieuse des droits invoqués par le demandeur. Par ailleurs, le défendeur n'a pas formé de demande reconventionnelle portant sur d'autres prétentions, qui pourrait entraîner la recevabilité du recours en réforme en application de l' art. 47 al. 3 OJ ; il se borne à réclamer les 1'000 fr. qui sont en cause dans l'action en libération de dette. Le chef de conclusions I, tendant à la constatation de la nullité du contrat relatif à la voiture "BMW 2000 CS", est également sans incidence. Il ne sert qu'à motiver les prétentions qui font l'objet du chef de conclusions II et les conclusions en libération de dette III et IV. Une solution contraire reviendrait à éluder l' art. 47 al. 2 OJ , qui exclut que la prétention du défendeur au paiement de 1'000 fr. soit additionnée à celles du demandeur. Seul reste donc déterminant le chef de conclusions II de la demande. Les droits contestés s'élèvent ainsi à 7'900 fr., à savoir 4'500 fr. plus la valeur des voitures "Opel 1900" et "Opel Kadett" dont le demandeur réclame la restitution. Cette valeur est fixée en tout à 3'400 fr. par la lettre du 6 août 1974 du conseil du demandeur, montant qui est repris par le Tribunal cantonal et résulte aussi des conclusions subsidiaires en paiement de la somme globale de 7'900 fr. Quant à la restitution de la voiture "BMW 2000 CS", elle ne correspond pas à une prétention du demandeur, et sa valeur n'entre donc pas en considération. Il s'agit au contraire d'une offre du demandeur "de rendre au défendeur la voiture litigieuse BMW 2000 CS" contre les prestations exigées de ce dernier.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